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74"/>
        <w:gridCol w:w="7946"/>
      </w:tblGrid>
      <w:tr w:rsidR="00303E1F" w:rsidRPr="00D36A24" w:rsidTr="00AB5A85">
        <w:trPr>
          <w:trHeight w:val="10769"/>
        </w:trPr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</w:tcPr>
          <w:p w:rsidR="00303E1F" w:rsidRDefault="00303E1F" w:rsidP="00AB5A85">
            <w:pPr>
              <w:rPr>
                <w:b/>
                <w:sz w:val="36"/>
                <w:szCs w:val="36"/>
              </w:rPr>
            </w:pPr>
          </w:p>
          <w:p w:rsidR="00303E1F" w:rsidRDefault="00303E1F" w:rsidP="00AB5A85">
            <w:pPr>
              <w:jc w:val="center"/>
              <w:rPr>
                <w:b/>
                <w:sz w:val="36"/>
                <w:szCs w:val="36"/>
              </w:rPr>
            </w:pPr>
            <w:r w:rsidRPr="00012AAC">
              <w:rPr>
                <w:b/>
                <w:sz w:val="32"/>
                <w:szCs w:val="32"/>
              </w:rPr>
              <w:t>ДЛЯ ЗАМЕТОК</w:t>
            </w:r>
          </w:p>
          <w:p w:rsidR="00303E1F" w:rsidRDefault="00303E1F" w:rsidP="00AB5A85">
            <w:pPr>
              <w:jc w:val="center"/>
              <w:rPr>
                <w:b/>
                <w:sz w:val="36"/>
                <w:szCs w:val="36"/>
              </w:rPr>
            </w:pPr>
          </w:p>
          <w:p w:rsidR="00303E1F" w:rsidRDefault="00303E1F" w:rsidP="00AB5A85">
            <w:pPr>
              <w:jc w:val="center"/>
              <w:rPr>
                <w:b/>
                <w:sz w:val="36"/>
                <w:szCs w:val="36"/>
              </w:rPr>
            </w:pPr>
          </w:p>
          <w:p w:rsidR="00303E1F" w:rsidRDefault="00303E1F" w:rsidP="00AB5A8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36"/>
                <w:szCs w:val="36"/>
              </w:rPr>
            </w:pPr>
          </w:p>
          <w:p w:rsidR="00303E1F" w:rsidRDefault="00303E1F" w:rsidP="00AB5A85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36"/>
                <w:szCs w:val="36"/>
              </w:rPr>
            </w:pPr>
          </w:p>
          <w:p w:rsidR="00303E1F" w:rsidRDefault="00303E1F" w:rsidP="00AB5A85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36"/>
                <w:szCs w:val="36"/>
              </w:rPr>
            </w:pPr>
          </w:p>
          <w:p w:rsidR="00303E1F" w:rsidRDefault="00303E1F" w:rsidP="00AB5A85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36"/>
                <w:szCs w:val="36"/>
              </w:rPr>
            </w:pPr>
          </w:p>
          <w:p w:rsidR="00303E1F" w:rsidRDefault="00303E1F" w:rsidP="00AB5A85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36"/>
                <w:szCs w:val="36"/>
              </w:rPr>
            </w:pPr>
          </w:p>
          <w:p w:rsidR="00303E1F" w:rsidRDefault="00303E1F" w:rsidP="00AB5A85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36"/>
                <w:szCs w:val="36"/>
              </w:rPr>
            </w:pPr>
          </w:p>
          <w:p w:rsidR="00303E1F" w:rsidRDefault="00303E1F" w:rsidP="00AB5A85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36"/>
                <w:szCs w:val="36"/>
              </w:rPr>
            </w:pPr>
          </w:p>
          <w:p w:rsidR="00303E1F" w:rsidRDefault="00303E1F" w:rsidP="00AB5A85">
            <w:pPr>
              <w:pBdr>
                <w:bottom w:val="single" w:sz="12" w:space="1" w:color="auto"/>
                <w:between w:val="single" w:sz="12" w:space="1" w:color="auto"/>
              </w:pBdr>
              <w:ind w:right="-53"/>
              <w:rPr>
                <w:sz w:val="36"/>
                <w:szCs w:val="36"/>
              </w:rPr>
            </w:pPr>
          </w:p>
          <w:p w:rsidR="00303E1F" w:rsidRDefault="00303E1F" w:rsidP="00AB5A85">
            <w:pPr>
              <w:pBdr>
                <w:bottom w:val="single" w:sz="12" w:space="1" w:color="auto"/>
                <w:between w:val="single" w:sz="12" w:space="1" w:color="auto"/>
              </w:pBdr>
              <w:ind w:right="-53"/>
              <w:rPr>
                <w:sz w:val="36"/>
                <w:szCs w:val="36"/>
              </w:rPr>
            </w:pPr>
          </w:p>
          <w:p w:rsidR="00303E1F" w:rsidRDefault="00303E1F" w:rsidP="00AB5A85">
            <w:pPr>
              <w:pBdr>
                <w:bottom w:val="single" w:sz="12" w:space="1" w:color="auto"/>
                <w:between w:val="single" w:sz="12" w:space="1" w:color="auto"/>
              </w:pBdr>
              <w:ind w:right="-53"/>
              <w:rPr>
                <w:sz w:val="36"/>
                <w:szCs w:val="36"/>
              </w:rPr>
            </w:pPr>
          </w:p>
          <w:p w:rsidR="00303E1F" w:rsidRDefault="00303E1F" w:rsidP="00AB5A85">
            <w:pPr>
              <w:pBdr>
                <w:bottom w:val="single" w:sz="12" w:space="1" w:color="auto"/>
                <w:between w:val="single" w:sz="12" w:space="1" w:color="auto"/>
              </w:pBdr>
              <w:ind w:right="-53"/>
              <w:rPr>
                <w:sz w:val="36"/>
                <w:szCs w:val="36"/>
              </w:rPr>
            </w:pPr>
          </w:p>
          <w:p w:rsidR="00303E1F" w:rsidRDefault="00303E1F" w:rsidP="00AB5A85">
            <w:pPr>
              <w:pBdr>
                <w:bottom w:val="single" w:sz="12" w:space="1" w:color="auto"/>
                <w:between w:val="single" w:sz="12" w:space="1" w:color="auto"/>
              </w:pBdr>
              <w:ind w:right="-53"/>
              <w:rPr>
                <w:sz w:val="36"/>
                <w:szCs w:val="36"/>
              </w:rPr>
            </w:pPr>
          </w:p>
          <w:p w:rsidR="00303E1F" w:rsidRDefault="00303E1F" w:rsidP="00AB5A85">
            <w:pPr>
              <w:pBdr>
                <w:bottom w:val="single" w:sz="12" w:space="1" w:color="auto"/>
                <w:between w:val="single" w:sz="12" w:space="1" w:color="auto"/>
              </w:pBdr>
              <w:ind w:right="-53"/>
              <w:rPr>
                <w:sz w:val="36"/>
                <w:szCs w:val="36"/>
              </w:rPr>
            </w:pPr>
          </w:p>
          <w:p w:rsidR="00303E1F" w:rsidRDefault="00303E1F" w:rsidP="00AB5A85">
            <w:pPr>
              <w:pBdr>
                <w:bottom w:val="single" w:sz="12" w:space="1" w:color="auto"/>
                <w:between w:val="single" w:sz="12" w:space="1" w:color="auto"/>
              </w:pBdr>
              <w:ind w:right="-53"/>
              <w:rPr>
                <w:sz w:val="36"/>
                <w:szCs w:val="36"/>
              </w:rPr>
            </w:pPr>
          </w:p>
          <w:p w:rsidR="00303E1F" w:rsidRDefault="00303E1F" w:rsidP="00AB5A85">
            <w:pPr>
              <w:pBdr>
                <w:bottom w:val="single" w:sz="12" w:space="1" w:color="auto"/>
                <w:between w:val="single" w:sz="12" w:space="1" w:color="auto"/>
              </w:pBdr>
              <w:ind w:right="-53"/>
              <w:rPr>
                <w:sz w:val="36"/>
                <w:szCs w:val="36"/>
              </w:rPr>
            </w:pPr>
          </w:p>
          <w:p w:rsidR="00303E1F" w:rsidRDefault="00303E1F" w:rsidP="00AB5A85">
            <w:pPr>
              <w:pBdr>
                <w:bottom w:val="single" w:sz="12" w:space="1" w:color="auto"/>
                <w:between w:val="single" w:sz="12" w:space="1" w:color="auto"/>
              </w:pBdr>
              <w:ind w:right="-53"/>
              <w:rPr>
                <w:sz w:val="36"/>
                <w:szCs w:val="36"/>
              </w:rPr>
            </w:pPr>
          </w:p>
          <w:p w:rsidR="00303E1F" w:rsidRDefault="00303E1F" w:rsidP="00AB5A85">
            <w:pPr>
              <w:pBdr>
                <w:bottom w:val="single" w:sz="12" w:space="1" w:color="auto"/>
                <w:between w:val="single" w:sz="12" w:space="1" w:color="auto"/>
              </w:pBdr>
              <w:ind w:right="-53"/>
              <w:rPr>
                <w:sz w:val="36"/>
                <w:szCs w:val="36"/>
              </w:rPr>
            </w:pPr>
          </w:p>
          <w:p w:rsidR="00303E1F" w:rsidRDefault="00303E1F" w:rsidP="00AB5A85">
            <w:pPr>
              <w:pBdr>
                <w:bottom w:val="single" w:sz="12" w:space="1" w:color="auto"/>
                <w:between w:val="single" w:sz="12" w:space="1" w:color="auto"/>
              </w:pBdr>
              <w:ind w:right="-53"/>
              <w:rPr>
                <w:sz w:val="36"/>
                <w:szCs w:val="36"/>
              </w:rPr>
            </w:pPr>
          </w:p>
          <w:p w:rsidR="00303E1F" w:rsidRPr="002B6D3B" w:rsidRDefault="00303E1F" w:rsidP="00AB5A85">
            <w:pPr>
              <w:ind w:right="-53"/>
              <w:rPr>
                <w:sz w:val="36"/>
                <w:szCs w:val="36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303E1F" w:rsidRDefault="00303E1F" w:rsidP="00AB5A85">
            <w:r>
              <w:t xml:space="preserve">              </w:t>
            </w:r>
          </w:p>
          <w:p w:rsidR="00303E1F" w:rsidRDefault="00303E1F" w:rsidP="00AB5A85">
            <w:pPr>
              <w:rPr>
                <w:b/>
                <w:sz w:val="36"/>
                <w:szCs w:val="36"/>
              </w:rPr>
            </w:pPr>
            <w:r>
              <w:t xml:space="preserve">                    </w:t>
            </w:r>
          </w:p>
          <w:p w:rsidR="00303E1F" w:rsidRDefault="00303E1F" w:rsidP="00AB5A8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2414550" cy="2481467"/>
                  <wp:effectExtent l="19050" t="0" r="4800" b="0"/>
                  <wp:docPr id="5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550" cy="2481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E1F" w:rsidRDefault="00303E1F" w:rsidP="00AB5A85">
            <w:pPr>
              <w:jc w:val="center"/>
              <w:rPr>
                <w:b/>
                <w:sz w:val="36"/>
                <w:szCs w:val="36"/>
              </w:rPr>
            </w:pPr>
          </w:p>
          <w:p w:rsidR="00303E1F" w:rsidRDefault="00303E1F" w:rsidP="00AB5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ИНФОРМАЦИЯ </w:t>
            </w:r>
          </w:p>
          <w:p w:rsidR="00303E1F" w:rsidRDefault="00303E1F" w:rsidP="00AB5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  ГОСУДАРСТВЕННОЙ ПОДДЕРЖКЕ СЕМЕЙНЫХ ЖИВОТНОВОДЧЕСКИХ ФЕРМ </w:t>
            </w:r>
          </w:p>
          <w:p w:rsidR="00303E1F" w:rsidRDefault="00303E1F" w:rsidP="00AB5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 2012-2014 ГОДЫ</w:t>
            </w:r>
          </w:p>
          <w:p w:rsidR="00303E1F" w:rsidRDefault="00303E1F" w:rsidP="00AB5A85">
            <w:pPr>
              <w:jc w:val="center"/>
              <w:rPr>
                <w:b/>
                <w:sz w:val="32"/>
                <w:szCs w:val="32"/>
              </w:rPr>
            </w:pPr>
          </w:p>
          <w:p w:rsidR="00303E1F" w:rsidRPr="00012AAC" w:rsidRDefault="00303E1F" w:rsidP="00AB5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государственное б</w:t>
            </w:r>
            <w:r>
              <w:rPr>
                <w:b/>
                <w:sz w:val="32"/>
                <w:szCs w:val="32"/>
              </w:rPr>
              <w:t>юджетное учреждение Нижегородской области «</w:t>
            </w:r>
            <w:proofErr w:type="spellStart"/>
            <w:r>
              <w:rPr>
                <w:b/>
                <w:sz w:val="32"/>
                <w:szCs w:val="32"/>
              </w:rPr>
              <w:t>Инновационно-консультационный</w:t>
            </w:r>
            <w:proofErr w:type="spellEnd"/>
            <w:r>
              <w:rPr>
                <w:b/>
                <w:sz w:val="32"/>
                <w:szCs w:val="32"/>
              </w:rPr>
              <w:t xml:space="preserve"> центр агропромышленного комплекса»</w:t>
            </w:r>
          </w:p>
          <w:p w:rsidR="00303E1F" w:rsidRPr="00012AAC" w:rsidRDefault="00303E1F" w:rsidP="00AB5A85">
            <w:pPr>
              <w:jc w:val="center"/>
              <w:rPr>
                <w:b/>
                <w:sz w:val="32"/>
                <w:szCs w:val="32"/>
              </w:rPr>
            </w:pPr>
          </w:p>
          <w:p w:rsidR="00303E1F" w:rsidRPr="00012AAC" w:rsidRDefault="00303E1F" w:rsidP="00AB5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012AAC">
              <w:rPr>
                <w:b/>
                <w:sz w:val="32"/>
                <w:szCs w:val="32"/>
              </w:rPr>
              <w:t>603163, г</w:t>
            </w:r>
            <w:proofErr w:type="gramStart"/>
            <w:r w:rsidRPr="00012AAC">
              <w:rPr>
                <w:b/>
                <w:sz w:val="32"/>
                <w:szCs w:val="32"/>
              </w:rPr>
              <w:t>.Н</w:t>
            </w:r>
            <w:proofErr w:type="gramEnd"/>
            <w:r w:rsidRPr="00012AAC">
              <w:rPr>
                <w:b/>
                <w:sz w:val="32"/>
                <w:szCs w:val="32"/>
              </w:rPr>
              <w:t xml:space="preserve">ижний Новгород, </w:t>
            </w:r>
          </w:p>
          <w:p w:rsidR="00303E1F" w:rsidRPr="00012AAC" w:rsidRDefault="00303E1F" w:rsidP="00AB5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012AAC">
              <w:rPr>
                <w:b/>
                <w:sz w:val="32"/>
                <w:szCs w:val="32"/>
              </w:rPr>
              <w:t>ул</w:t>
            </w:r>
            <w:proofErr w:type="gramStart"/>
            <w:r w:rsidRPr="00012AAC">
              <w:rPr>
                <w:b/>
                <w:sz w:val="32"/>
                <w:szCs w:val="32"/>
              </w:rPr>
              <w:t>.Г</w:t>
            </w:r>
            <w:proofErr w:type="gramEnd"/>
            <w:r w:rsidRPr="00012AAC">
              <w:rPr>
                <w:b/>
                <w:sz w:val="32"/>
                <w:szCs w:val="32"/>
              </w:rPr>
              <w:t>ермана Лопатина, д.12, корп.1</w:t>
            </w:r>
          </w:p>
          <w:p w:rsidR="00303E1F" w:rsidRPr="00012AAC" w:rsidRDefault="00303E1F" w:rsidP="00AB5A85">
            <w:pPr>
              <w:jc w:val="center"/>
              <w:rPr>
                <w:b/>
                <w:sz w:val="32"/>
                <w:szCs w:val="32"/>
              </w:rPr>
            </w:pPr>
            <w:r w:rsidRPr="00012AAC">
              <w:rPr>
                <w:b/>
                <w:sz w:val="32"/>
                <w:szCs w:val="32"/>
              </w:rPr>
              <w:t>телефоны:</w:t>
            </w:r>
          </w:p>
          <w:p w:rsidR="00303E1F" w:rsidRPr="00012AAC" w:rsidRDefault="00303E1F" w:rsidP="00AB5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012AAC">
              <w:rPr>
                <w:b/>
                <w:sz w:val="32"/>
                <w:szCs w:val="32"/>
              </w:rPr>
              <w:t>8 (831) 4388087, 4388042, 4388054, 4385856, 4323910</w:t>
            </w:r>
          </w:p>
          <w:p w:rsidR="00303E1F" w:rsidRPr="00D36A24" w:rsidRDefault="00303E1F" w:rsidP="00AB5A85">
            <w:pPr>
              <w:jc w:val="center"/>
              <w:rPr>
                <w:b/>
                <w:sz w:val="32"/>
                <w:szCs w:val="32"/>
              </w:rPr>
            </w:pPr>
            <w:r w:rsidRPr="00012AAC">
              <w:rPr>
                <w:b/>
                <w:sz w:val="32"/>
                <w:szCs w:val="32"/>
                <w:lang w:val="en-US"/>
              </w:rPr>
              <w:t>e</w:t>
            </w:r>
            <w:r w:rsidRPr="00D36A24">
              <w:rPr>
                <w:b/>
                <w:sz w:val="32"/>
                <w:szCs w:val="32"/>
              </w:rPr>
              <w:t>-</w:t>
            </w:r>
            <w:r w:rsidRPr="00012AAC">
              <w:rPr>
                <w:b/>
                <w:sz w:val="32"/>
                <w:szCs w:val="32"/>
                <w:lang w:val="en-US"/>
              </w:rPr>
              <w:t>mail</w:t>
            </w:r>
            <w:r w:rsidRPr="00D36A24">
              <w:rPr>
                <w:b/>
                <w:sz w:val="32"/>
                <w:szCs w:val="32"/>
              </w:rPr>
              <w:t xml:space="preserve">: </w:t>
            </w:r>
            <w:hyperlink r:id="rId5" w:history="1">
              <w:r w:rsidRPr="00012AAC">
                <w:rPr>
                  <w:rStyle w:val="a4"/>
                  <w:b/>
                  <w:sz w:val="32"/>
                  <w:szCs w:val="32"/>
                  <w:lang w:val="en-US"/>
                </w:rPr>
                <w:t>info</w:t>
              </w:r>
              <w:r w:rsidRPr="00D36A24">
                <w:rPr>
                  <w:rStyle w:val="a4"/>
                  <w:b/>
                  <w:sz w:val="32"/>
                  <w:szCs w:val="32"/>
                </w:rPr>
                <w:t>-</w:t>
              </w:r>
              <w:r w:rsidRPr="00012AAC">
                <w:rPr>
                  <w:rStyle w:val="a4"/>
                  <w:b/>
                  <w:sz w:val="32"/>
                  <w:szCs w:val="32"/>
                  <w:lang w:val="en-US"/>
                </w:rPr>
                <w:t>ncs</w:t>
              </w:r>
              <w:r w:rsidRPr="00D36A24">
                <w:rPr>
                  <w:rStyle w:val="a4"/>
                  <w:b/>
                  <w:sz w:val="32"/>
                  <w:szCs w:val="32"/>
                </w:rPr>
                <w:t>@</w:t>
              </w:r>
              <w:r w:rsidRPr="00012AAC">
                <w:rPr>
                  <w:rStyle w:val="a4"/>
                  <w:b/>
                  <w:sz w:val="32"/>
                  <w:szCs w:val="32"/>
                  <w:lang w:val="en-US"/>
                </w:rPr>
                <w:t>mail</w:t>
              </w:r>
              <w:r w:rsidRPr="00D36A24">
                <w:rPr>
                  <w:rStyle w:val="a4"/>
                  <w:b/>
                  <w:sz w:val="32"/>
                  <w:szCs w:val="32"/>
                </w:rPr>
                <w:t>.</w:t>
              </w:r>
              <w:r w:rsidRPr="00012AAC">
                <w:rPr>
                  <w:rStyle w:val="a4"/>
                  <w:b/>
                  <w:sz w:val="32"/>
                  <w:szCs w:val="32"/>
                  <w:lang w:val="en-US"/>
                </w:rPr>
                <w:t>ru</w:t>
              </w:r>
            </w:hyperlink>
            <w:r w:rsidRPr="00D36A24">
              <w:t xml:space="preserve">                  </w:t>
            </w:r>
          </w:p>
        </w:tc>
      </w:tr>
      <w:tr w:rsidR="00303E1F" w:rsidTr="00AB5A85">
        <w:trPr>
          <w:trHeight w:val="107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303E1F" w:rsidRDefault="00303E1F" w:rsidP="00AB5A85"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9.65pt;margin-top:-4.5pt;width:394.3pt;height:29.05pt;z-index:251658240;mso-position-horizontal-relative:text;mso-position-vertical-relative:text;mso-width-relative:margin;mso-height-relative:margin">
                  <v:textbox style="mso-next-textbox:#_x0000_s1026">
                    <w:txbxContent>
                      <w:p w:rsidR="00303E1F" w:rsidRPr="00D36A24" w:rsidRDefault="00303E1F" w:rsidP="00303E1F">
                        <w:pPr>
                          <w:rPr>
                            <w:b/>
                          </w:rPr>
                        </w:pPr>
                        <w:r w:rsidRPr="00686665">
                          <w:rPr>
                            <w:b/>
                            <w:sz w:val="28"/>
                          </w:rPr>
                          <w:t>Семейная животноводческая ферма</w:t>
                        </w:r>
                        <w:r>
                          <w:rPr>
                            <w:b/>
                            <w:sz w:val="28"/>
                          </w:rPr>
                          <w:t xml:space="preserve">     </w:t>
                        </w:r>
                        <w:r w:rsidRPr="00D36A24">
                          <w:rPr>
                            <w:b/>
                          </w:rPr>
                          <w:t>(Грант на развитие)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-9.65pt;margin-top:471.7pt;width:394.3pt;height:69.25pt;z-index:251658240;mso-position-horizontal-relative:text;mso-position-vertical-relative:text;mso-width-relative:margin;mso-height-relative:margin">
                  <v:textbox style="mso-next-textbox:#_x0000_s1033">
                    <w:txbxContent>
                      <w:p w:rsidR="00303E1F" w:rsidRPr="009D0C49" w:rsidRDefault="00303E1F" w:rsidP="00303E1F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 w:rsidRPr="009D0C49">
                          <w:rPr>
                            <w:b/>
                            <w:sz w:val="21"/>
                            <w:szCs w:val="21"/>
                          </w:rPr>
                          <w:t>Обязательство КФХ о создании или вступлении в действующий сельскохозяйственный перерабатывающий потребительский кооператив или хозяйственное общество по профилю производимой продукции, либо заключение соглашения о реализации своей продукции с перерабатывающей организацией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-9.65pt;margin-top:439.1pt;width:394.3pt;height:32.6pt;z-index:251658240;mso-position-horizontal-relative:text;mso-position-vertical-relative:text;mso-width-relative:margin;mso-height-relative:margin">
                  <v:textbox style="mso-next-textbox:#_x0000_s1032">
                    <w:txbxContent>
                      <w:p w:rsidR="00303E1F" w:rsidRPr="00144DE9" w:rsidRDefault="00303E1F" w:rsidP="00303E1F">
                        <w:pPr>
                          <w:rPr>
                            <w:sz w:val="20"/>
                          </w:rPr>
                        </w:pPr>
                        <w:r w:rsidRPr="009D0C49">
                          <w:rPr>
                            <w:b/>
                            <w:sz w:val="21"/>
                            <w:szCs w:val="21"/>
                          </w:rPr>
                          <w:t xml:space="preserve">Соответствие критериям </w:t>
                        </w:r>
                        <w:proofErr w:type="spellStart"/>
                        <w:r w:rsidRPr="009D0C49">
                          <w:rPr>
                            <w:b/>
                            <w:sz w:val="21"/>
                            <w:szCs w:val="21"/>
                          </w:rPr>
                          <w:t>микропредприятия</w:t>
                        </w:r>
                        <w:proofErr w:type="spellEnd"/>
                        <w:r w:rsidRPr="009D0C49">
                          <w:rPr>
                            <w:b/>
                            <w:sz w:val="21"/>
                            <w:szCs w:val="21"/>
                          </w:rPr>
                          <w:t xml:space="preserve"> и малого предприятия, установленным Федеральным законом, создание не менее 3-х постоянных</w:t>
                        </w:r>
                        <w:r>
                          <w:rPr>
                            <w:b/>
                            <w:sz w:val="20"/>
                            <w:szCs w:val="21"/>
                          </w:rPr>
                          <w:t xml:space="preserve"> рабочих мест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-9.65pt;margin-top:299.05pt;width:394.3pt;height:140.05pt;z-index:251658240;mso-position-horizontal-relative:text;mso-position-vertical-relative:text;mso-width-relative:margin;mso-height-relative:margin">
                  <v:textbox style="mso-next-textbox:#_x0000_s1031">
                    <w:txbxContent>
                      <w:p w:rsidR="00303E1F" w:rsidRPr="009D0C49" w:rsidRDefault="00303E1F" w:rsidP="00303E1F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 w:rsidRPr="009D0C49">
                          <w:rPr>
                            <w:b/>
                            <w:sz w:val="21"/>
                            <w:szCs w:val="21"/>
                          </w:rPr>
                          <w:t xml:space="preserve">КФХ имеет или планирует создать не более одной семейной животноводческой фермы по одному направлению деятельности животноводства, предусмотренному региональной программой. </w:t>
                        </w:r>
                        <w:proofErr w:type="gramStart"/>
                        <w:r w:rsidRPr="009D0C49">
                          <w:rPr>
                            <w:b/>
                            <w:sz w:val="21"/>
                            <w:szCs w:val="21"/>
                          </w:rPr>
                          <w:t>(Возможность создания, реконструкции или модернизации и комплектации семейных животноводческих ферм от 20 до 100 и выше голов  КРС или конематок, от 50 до 300 и выше голов овец, коз и других сельскохозяйственных животных, птицеферм от 1000 и выше голов птицы, на базе КФХ при условии окупаемости проектов сроком не более 8-ми лет).</w:t>
                        </w:r>
                        <w:proofErr w:type="gramEnd"/>
                        <w:r w:rsidRPr="009D0C49">
                          <w:rPr>
                            <w:b/>
                            <w:sz w:val="21"/>
                            <w:szCs w:val="21"/>
                          </w:rPr>
                          <w:t xml:space="preserve"> Наличие бизнес-плана, обязательство оплачивать не менее 40% стоимости каждого наименования Приобретений Плана расходов, в т.ч. не  менее 10% - за счет собственных средств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-9.65pt;margin-top:241pt;width:394.3pt;height:58.05pt;z-index:251658240;mso-position-horizontal-relative:text;mso-position-vertical-relative:text;mso-width-relative:margin;mso-height-relative:margin">
                  <v:textbox style="mso-next-textbox:#_x0000_s1030">
                    <w:txbxContent>
                      <w:p w:rsidR="00303E1F" w:rsidRPr="00D36A24" w:rsidRDefault="00303E1F" w:rsidP="00303E1F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 w:rsidRPr="00D36A24">
                          <w:rPr>
                            <w:b/>
                            <w:sz w:val="21"/>
                            <w:szCs w:val="21"/>
                          </w:rPr>
                          <w:t>Глава и члены КФХ ранее не являлись получателями</w:t>
                        </w:r>
                        <w:r w:rsidRPr="00D36A24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Pr="00D36A24">
                          <w:rPr>
                            <w:b/>
                            <w:sz w:val="21"/>
                            <w:szCs w:val="21"/>
                          </w:rPr>
                          <w:t xml:space="preserve">выплаты на содействие </w:t>
                        </w:r>
                        <w:proofErr w:type="spellStart"/>
                        <w:r w:rsidRPr="00D36A24">
                          <w:rPr>
                            <w:b/>
                            <w:sz w:val="21"/>
                            <w:szCs w:val="21"/>
                          </w:rPr>
                          <w:t>самозанятости</w:t>
                        </w:r>
                        <w:proofErr w:type="spellEnd"/>
                        <w:r w:rsidRPr="00D36A24">
                          <w:rPr>
                            <w:b/>
                            <w:sz w:val="21"/>
                            <w:szCs w:val="21"/>
                          </w:rPr>
                          <w:t xml:space="preserve"> населения, грантов на развитие малого и среднего предпринимательства, финансовой поддержки в виде субсидий по закону 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            </w:t>
                        </w:r>
                        <w:r w:rsidRPr="00D36A24">
                          <w:rPr>
                            <w:b/>
                            <w:sz w:val="21"/>
                            <w:szCs w:val="21"/>
                          </w:rPr>
                          <w:t>209-ФЗ от 24.07.20 07г</w:t>
                        </w:r>
                      </w:p>
                      <w:p w:rsidR="00303E1F" w:rsidRDefault="00303E1F" w:rsidP="00303E1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-9.65pt;margin-top:196.2pt;width:394.3pt;height:49pt;z-index:251658240;mso-position-horizontal-relative:text;mso-position-vertical-relative:text;mso-width-relative:margin;mso-height-relative:margin">
                  <v:textbox style="mso-next-textbox:#_x0000_s1029">
                    <w:txbxContent>
                      <w:p w:rsidR="00303E1F" w:rsidRPr="00D36A24" w:rsidRDefault="00303E1F" w:rsidP="00303E1F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 w:rsidRPr="00D36A24">
                          <w:rPr>
                            <w:b/>
                            <w:sz w:val="21"/>
                            <w:szCs w:val="21"/>
                          </w:rPr>
                          <w:t>КФХ имеет (создает) собственную или совместно с другими сельскохозяйственными товаропроизводителями кормовую базу, либо заключило договоры (предварительные договоры) на приобретение кормов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-9.65pt;margin-top:91.35pt;width:394.3pt;height:104.85pt;z-index:251658240;mso-position-horizontal-relative:text;mso-position-vertical-relative:text;mso-width-relative:margin;mso-height-relative:margin">
                  <v:textbox style="mso-next-textbox:#_x0000_s1028">
                    <w:txbxContent>
                      <w:p w:rsidR="00303E1F" w:rsidRPr="00D36A24" w:rsidRDefault="00303E1F" w:rsidP="00303E1F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 w:rsidRPr="00D36A24">
                          <w:rPr>
                            <w:b/>
                            <w:sz w:val="21"/>
                            <w:szCs w:val="21"/>
                          </w:rPr>
                          <w:t xml:space="preserve">Хозяйство зарегистрировано на территории того же субъекта РФ, где подается заявка на участие в Программе. Глава и члены КФХ постоянно проживают в муниципальном образовании по месту нахождения и регистрации хозяйства. Срок деятельности КФХ на дату подачи заявки превышает 12 месяцев  </w:t>
                        </w:r>
                        <w:proofErr w:type="gramStart"/>
                        <w:r w:rsidRPr="00D36A24">
                          <w:rPr>
                            <w:b/>
                            <w:sz w:val="21"/>
                            <w:szCs w:val="21"/>
                          </w:rPr>
                          <w:t>с  даты регистрации</w:t>
                        </w:r>
                        <w:proofErr w:type="gramEnd"/>
                        <w:r w:rsidRPr="00D36A24">
                          <w:rPr>
                            <w:b/>
                            <w:sz w:val="21"/>
                            <w:szCs w:val="21"/>
                          </w:rPr>
                          <w:t>. КФХ обязано осуществлять деятельность не менее 5-ти лет после получения гранта, использовать средства в течение 18-ти месяцев с момента поступления на счет, закупаемое имущество исключительно на развитие и деятельность семейной животноводческой фермы</w:t>
                        </w:r>
                      </w:p>
                      <w:p w:rsidR="00303E1F" w:rsidRPr="00D36A24" w:rsidRDefault="00303E1F" w:rsidP="00303E1F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-9.65pt;margin-top:24.55pt;width:394.3pt;height:71.45pt;z-index:251658240;mso-position-horizontal-relative:text;mso-position-vertical-relative:text;mso-width-relative:margin;mso-height-relative:margin">
                  <v:textbox style="mso-next-textbox:#_x0000_s1027">
                    <w:txbxContent>
                      <w:p w:rsidR="00303E1F" w:rsidRPr="00D36A24" w:rsidRDefault="00303E1F" w:rsidP="00303E1F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 w:rsidRPr="00D36A24">
                          <w:rPr>
                            <w:b/>
                            <w:sz w:val="21"/>
                            <w:szCs w:val="21"/>
                          </w:rPr>
                          <w:t xml:space="preserve">Действующее КФХ. Возраст главы КФХ не моложе 19 и не старше 55 лет. Главой и членами хозяйства являются граждане РФ (не менее 2-х), состоящие в родстве и совместно осуществляющие производственную деятельность, основанную на их личном участии. Допускается участие хозяйственных обществ в качестве </w:t>
                        </w:r>
                        <w:proofErr w:type="spellStart"/>
                        <w:r w:rsidRPr="00D36A24">
                          <w:rPr>
                            <w:b/>
                            <w:sz w:val="21"/>
                            <w:szCs w:val="21"/>
                          </w:rPr>
                          <w:t>соинвесторов</w:t>
                        </w:r>
                        <w:proofErr w:type="spellEnd"/>
                        <w:r w:rsidRPr="00D36A24">
                          <w:rPr>
                            <w:b/>
                            <w:sz w:val="21"/>
                            <w:szCs w:val="21"/>
                          </w:rPr>
                          <w:t xml:space="preserve">  для проектов развития КФХ.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303E1F" w:rsidRDefault="00303E1F" w:rsidP="00AB5A85">
            <w:r>
              <w:rPr>
                <w:noProof/>
              </w:rPr>
              <w:pict>
                <v:shape id="_x0000_s1035" type="#_x0000_t202" style="position:absolute;margin-left:-1.35pt;margin-top:182pt;width:395.25pt;height:72.05pt;z-index:251658240;mso-position-horizontal-relative:text;mso-position-vertical-relative:text;mso-width-relative:margin;mso-height-relative:margin">
                  <v:textbox>
                    <w:txbxContent>
                      <w:p w:rsidR="00303E1F" w:rsidRPr="004D4342" w:rsidRDefault="00303E1F" w:rsidP="00303E1F">
                        <w:pPr>
                          <w:rPr>
                            <w:b/>
                          </w:rPr>
                        </w:pPr>
                        <w:r w:rsidRPr="004D4342">
                          <w:rPr>
                            <w:b/>
                            <w:sz w:val="22"/>
                            <w:szCs w:val="22"/>
                          </w:rPr>
                          <w:t xml:space="preserve">Если КФХ привлекает субсидированные кредиты (займы) для погашения части затрат по развитию семейной животноводческой фермы, то средства из регионального бюджета на развитие фермы предоставляются только на часть затрат, </w:t>
                        </w:r>
                        <w:proofErr w:type="spellStart"/>
                        <w:r w:rsidRPr="004D4342">
                          <w:rPr>
                            <w:b/>
                            <w:sz w:val="22"/>
                            <w:szCs w:val="22"/>
                          </w:rPr>
                          <w:t>нефинансируемую</w:t>
                        </w:r>
                        <w:proofErr w:type="spellEnd"/>
                        <w:r w:rsidRPr="004D4342">
                          <w:rPr>
                            <w:b/>
                            <w:sz w:val="22"/>
                            <w:szCs w:val="22"/>
                          </w:rPr>
                          <w:t xml:space="preserve"> за счет субсидированных кредитов (займов)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-1.35pt;margin-top:-4.5pt;width:395.25pt;height:186.5pt;z-index:251658240;mso-position-horizontal-relative:text;mso-position-vertical-relative:text;mso-width-relative:margin;mso-height-relative:margin">
                  <v:textbox>
                    <w:txbxContent>
                      <w:p w:rsidR="00303E1F" w:rsidRDefault="00303E1F" w:rsidP="00303E1F">
                        <w:pPr>
                          <w:rPr>
                            <w:b/>
                          </w:rPr>
                        </w:pPr>
                        <w:r w:rsidRPr="004D4342">
                          <w:rPr>
                            <w:b/>
                            <w:u w:val="single"/>
                          </w:rPr>
                          <w:t>Расходы за счет гранта на развитие семейных животноводческих ферм:</w:t>
                        </w:r>
                        <w:r w:rsidRPr="004D4342">
                          <w:rPr>
                            <w:b/>
                          </w:rPr>
                          <w:t xml:space="preserve"> </w:t>
                        </w:r>
                        <w:r w:rsidRPr="008B644F">
                          <w:rPr>
                            <w:b/>
                          </w:rPr>
                          <w:t xml:space="preserve">     </w:t>
                        </w:r>
                      </w:p>
                      <w:p w:rsidR="00303E1F" w:rsidRPr="004D4342" w:rsidRDefault="00303E1F" w:rsidP="00303E1F">
                        <w:pPr>
                          <w:rPr>
                            <w:b/>
                          </w:rPr>
                        </w:pPr>
                        <w:r w:rsidRPr="008B644F">
                          <w:rPr>
                            <w:b/>
                          </w:rPr>
                          <w:t xml:space="preserve"> </w:t>
                        </w:r>
                        <w:r w:rsidRPr="004D4342">
                          <w:rPr>
                            <w:b/>
                            <w:sz w:val="22"/>
                            <w:szCs w:val="22"/>
                          </w:rPr>
                          <w:t xml:space="preserve">–разработка проектной документации строительства семейной животноводческой фермы;                                                                                                              </w:t>
                        </w:r>
                        <w:proofErr w:type="gramStart"/>
                        <w:r w:rsidRPr="004D4342">
                          <w:rPr>
                            <w:b/>
                            <w:sz w:val="22"/>
                            <w:szCs w:val="22"/>
                          </w:rPr>
                          <w:t>–с</w:t>
                        </w:r>
                        <w:proofErr w:type="gramEnd"/>
                        <w:r w:rsidRPr="004D4342">
                          <w:rPr>
                            <w:b/>
                            <w:sz w:val="22"/>
                            <w:szCs w:val="22"/>
                          </w:rPr>
                          <w:t>троительство, реконструкция или модернизация животноводческой фермы;                                                                                                                                                                                                      –строительство, реконструкция или модернизация производственных объектов по переработке продукции животноводства;                                                                                                   –комплектация ферм и объектов по перераб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отке животноводческой продукции</w:t>
                        </w:r>
                        <w:r w:rsidRPr="004D4342">
                          <w:rPr>
                            <w:b/>
                            <w:sz w:val="22"/>
                            <w:szCs w:val="22"/>
                          </w:rPr>
                          <w:t>–приобретение и монтаж оборудования и техники, покупка племенного и товарного скота.                                                                                                                           Средства, полученные на реализацию Программы из бюджета Нижегородской области не могут превышать 60% затрат на развитие семейной животноводческой фермы</w:t>
                        </w:r>
                      </w:p>
                      <w:p w:rsidR="00303E1F" w:rsidRDefault="00303E1F" w:rsidP="00303E1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margin-left:-1.35pt;margin-top:290.35pt;width:395.25pt;height:284.85pt;z-index:251658240;mso-position-horizontal-relative:text;mso-position-vertical-relative:text;mso-width-relative:margin;mso-height-relative:margin" strokecolor="white [3212]">
                  <v:textbox style="mso-next-textbox:#_x0000_s1037">
                    <w:txbxContent>
                      <w:p w:rsidR="00303E1F" w:rsidRPr="002B6D3B" w:rsidRDefault="00303E1F" w:rsidP="00303E1F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 w:rsidRPr="002B6D3B">
                          <w:rPr>
                            <w:b/>
                            <w:sz w:val="21"/>
                            <w:szCs w:val="21"/>
                          </w:rPr>
                          <w:t xml:space="preserve">ИНФОРМАЦИЯ ПОДГОТОВЛЕНА С ИСПОЛЬЗОВАНИЕМ НОРМАТИВНО-ПРАВОВЫХ АКТОВ:                                                                                                                                                                                  </w:t>
                        </w:r>
                        <w:proofErr w:type="gramStart"/>
                        <w:r w:rsidRPr="002B6D3B">
                          <w:rPr>
                            <w:b/>
                            <w:sz w:val="21"/>
                            <w:szCs w:val="21"/>
                          </w:rPr>
                          <w:t>–П</w:t>
                        </w:r>
                        <w:proofErr w:type="gramEnd"/>
                        <w:r w:rsidRPr="002B6D3B">
                          <w:rPr>
                            <w:b/>
                            <w:sz w:val="21"/>
                            <w:szCs w:val="21"/>
                          </w:rPr>
                          <w:t xml:space="preserve">риказ министерства  сельского хозяйства Российской Федерации от 22 марта 2012 года № 197 «О реализации постановления Правительства РФ от 28 февраля 2012г. №166»;                                                                                                                                                                     –Постановление Правительства РФ от 28 февраля 2012г. №166 «Об утверждении правил предоставления и распределения субсидий из федерального бюджета бюджетам субъектов РФ на поддержку начинающих фермеров»;                                                                                                                                                      </w:t>
                        </w:r>
                        <w:proofErr w:type="gramStart"/>
                        <w:r w:rsidRPr="002B6D3B">
                          <w:rPr>
                            <w:b/>
                            <w:sz w:val="21"/>
                            <w:szCs w:val="21"/>
                          </w:rPr>
                          <w:t>–П</w:t>
                        </w:r>
                        <w:proofErr w:type="gramEnd"/>
                        <w:r w:rsidRPr="002B6D3B">
                          <w:rPr>
                            <w:b/>
                            <w:sz w:val="21"/>
                            <w:szCs w:val="21"/>
                          </w:rPr>
                          <w:t xml:space="preserve">риказ министерства  сельского хозяйства Российской Федерации от 22 марта 2012 года № 198 «О реализации постановления Правительства РФ от 28 февраля 2012г. №165»;                                                                                                                                                  –Постановление Правительства РФ от 28 февраля 2012г. №166 «Об утверждении правил предоставления и распределения субсидий из федерального бюджета бюджетам субъектов РФ на развитие семейных животноводческих ферм»;                                                                                                                              </w:t>
                        </w:r>
                        <w:proofErr w:type="gramStart"/>
                        <w:r w:rsidRPr="002B6D3B">
                          <w:rPr>
                            <w:b/>
                            <w:sz w:val="21"/>
                            <w:szCs w:val="21"/>
                          </w:rPr>
                          <w:t>–П</w:t>
                        </w:r>
                        <w:proofErr w:type="gramEnd"/>
                        <w:r w:rsidRPr="002B6D3B">
                          <w:rPr>
                            <w:b/>
                            <w:sz w:val="21"/>
                            <w:szCs w:val="21"/>
                          </w:rPr>
                          <w:t xml:space="preserve">риказ    Министерства сельского хозяйства и продовольственных ресурсов Нижегородской области от 24 января 2012 года № 7 «О создании комиссии по отбору участников программы «Оказание мер государственной поддержки начинающих фермеров и развитие семейных  животноводческих ферм на базе крестьянских (фермерских) хозяйств на 2012-2014 годы»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-1.35pt;margin-top:254.05pt;width:395.25pt;height:33.45pt;z-index:251658240;mso-position-horizontal-relative:text;mso-position-vertical-relative:text;mso-width-relative:margin;mso-height-relative:margin">
                  <v:textbox>
                    <w:txbxContent>
                      <w:p w:rsidR="00303E1F" w:rsidRPr="004D4342" w:rsidRDefault="00303E1F" w:rsidP="00303E1F">
                        <w:pPr>
                          <w:rPr>
                            <w:b/>
                          </w:rPr>
                        </w:pPr>
                        <w:r w:rsidRPr="004D4342">
                          <w:rPr>
                            <w:b/>
                            <w:sz w:val="22"/>
                            <w:szCs w:val="22"/>
                          </w:rPr>
                          <w:t>Грант предоставляется при отсутствии просроченной задолженности перед бюджетом, внебюджетными фондами и кредитными организациями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26F80" w:rsidRDefault="00126F80"/>
    <w:sectPr w:rsidR="00126F80" w:rsidSect="00303E1F">
      <w:pgSz w:w="16838" w:h="11906" w:orient="landscape"/>
      <w:pgMar w:top="45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E1F"/>
    <w:rsid w:val="00126F80"/>
    <w:rsid w:val="00303E1F"/>
    <w:rsid w:val="0049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03E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3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nc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1</cp:revision>
  <cp:lastPrinted>2012-10-29T05:37:00Z</cp:lastPrinted>
  <dcterms:created xsi:type="dcterms:W3CDTF">2012-10-29T05:30:00Z</dcterms:created>
  <dcterms:modified xsi:type="dcterms:W3CDTF">2012-10-29T05:37:00Z</dcterms:modified>
</cp:coreProperties>
</file>